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FIŞA DISCIPLINEI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Consiliere pentru dezvoltare personală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hanging="35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 despre program</w:t>
      </w:r>
      <w:r w:rsidDel="00000000" w:rsidR="00000000" w:rsidRPr="00000000">
        <w:rPr>
          <w:rtl w:val="0"/>
        </w:rPr>
      </w:r>
    </w:p>
    <w:tbl>
      <w:tblPr>
        <w:tblStyle w:val="Table1"/>
        <w:tblW w:w="10198.0" w:type="dxa"/>
        <w:jc w:val="left"/>
        <w:tblInd w:w="-113.0" w:type="dxa"/>
        <w:tblLayout w:type="fixed"/>
        <w:tblLook w:val="0000"/>
      </w:tblPr>
      <w:tblGrid>
        <w:gridCol w:w="3886"/>
        <w:gridCol w:w="6312"/>
        <w:tblGridChange w:id="0">
          <w:tblGrid>
            <w:gridCol w:w="3886"/>
            <w:gridCol w:w="631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Instituţia de învăţământ superior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Universitatea de Vest din Timișoara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1.2 Facultatea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Facultatea de Psihologie și Științe ale educației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1.3 Departamentul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Departamentul de Științe ale Educației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1.4 Domeniul de studii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Științe ale Educației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1.5 Ciclul de studii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Master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1.6 Programul de studii / Calificarea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Consiliere și integrare educațională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235903 Consilier școlar, 263412 Psihopedagog</w:t>
            </w:r>
          </w:p>
        </w:tc>
      </w:tr>
    </w:tbl>
    <w:p w:rsidR="00000000" w:rsidDel="00000000" w:rsidP="00000000" w:rsidRDefault="00000000" w:rsidRPr="00000000" w14:paraId="0000001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hanging="35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 despre disciplină</w:t>
      </w:r>
      <w:r w:rsidDel="00000000" w:rsidR="00000000" w:rsidRPr="00000000">
        <w:rPr>
          <w:rtl w:val="0"/>
        </w:rPr>
      </w:r>
    </w:p>
    <w:tbl>
      <w:tblPr>
        <w:tblStyle w:val="Table2"/>
        <w:tblW w:w="10217.0" w:type="dxa"/>
        <w:jc w:val="left"/>
        <w:tblInd w:w="-147.0" w:type="dxa"/>
        <w:tblLayout w:type="fixed"/>
        <w:tblLook w:val="0000"/>
      </w:tblPr>
      <w:tblGrid>
        <w:gridCol w:w="1843"/>
        <w:gridCol w:w="567"/>
        <w:gridCol w:w="1692"/>
        <w:gridCol w:w="9"/>
        <w:gridCol w:w="567"/>
        <w:gridCol w:w="2127"/>
        <w:gridCol w:w="501"/>
        <w:gridCol w:w="2334"/>
        <w:gridCol w:w="577"/>
        <w:tblGridChange w:id="0">
          <w:tblGrid>
            <w:gridCol w:w="1843"/>
            <w:gridCol w:w="567"/>
            <w:gridCol w:w="1692"/>
            <w:gridCol w:w="9"/>
            <w:gridCol w:w="567"/>
            <w:gridCol w:w="2127"/>
            <w:gridCol w:w="501"/>
            <w:gridCol w:w="2334"/>
            <w:gridCol w:w="5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 Denumire disciplina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Consiliere pentru dezvoltare personală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2.2 Titular activităţi de curs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Conf.univ.dr. Ioana Dârjan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2.3 Titular activităţi de seminar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Conf.univ.dr. Ioana Dârjan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2.4 Titular activităţi de laborator/lucrari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2.5 Anul de studiu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II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-10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2.6 Semestrul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-108" w:hanging="10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2.7 Tipul de evaluare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-108" w:hanging="42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2.8 Regimul disciplinei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DS</w:t>
            </w:r>
          </w:p>
        </w:tc>
      </w:tr>
    </w:tbl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19"/>
        </w:tabs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hanging="35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Timpul total estimat (ore pe semestru al activităţilor didactice)</w:t>
      </w:r>
      <w:r w:rsidDel="00000000" w:rsidR="00000000" w:rsidRPr="00000000">
        <w:rPr>
          <w:rtl w:val="0"/>
        </w:rPr>
      </w:r>
    </w:p>
    <w:tbl>
      <w:tblPr>
        <w:tblStyle w:val="Table3"/>
        <w:tblW w:w="10466.000000000002" w:type="dxa"/>
        <w:jc w:val="left"/>
        <w:tblInd w:w="-113.0" w:type="dxa"/>
        <w:tblLayout w:type="fixed"/>
        <w:tblLook w:val="0000"/>
      </w:tblPr>
      <w:tblGrid>
        <w:gridCol w:w="3652"/>
        <w:gridCol w:w="567"/>
        <w:gridCol w:w="284"/>
        <w:gridCol w:w="718"/>
        <w:gridCol w:w="841"/>
        <w:gridCol w:w="567"/>
        <w:gridCol w:w="1276"/>
        <w:gridCol w:w="567"/>
        <w:gridCol w:w="1417"/>
        <w:gridCol w:w="577"/>
        <w:tblGridChange w:id="0">
          <w:tblGrid>
            <w:gridCol w:w="3652"/>
            <w:gridCol w:w="567"/>
            <w:gridCol w:w="284"/>
            <w:gridCol w:w="718"/>
            <w:gridCol w:w="841"/>
            <w:gridCol w:w="567"/>
            <w:gridCol w:w="1276"/>
            <w:gridCol w:w="567"/>
            <w:gridCol w:w="1417"/>
            <w:gridCol w:w="577"/>
          </w:tblGrid>
        </w:tblGridChange>
      </w:tblGrid>
      <w:tr>
        <w:trPr>
          <w:cantSplit w:val="0"/>
          <w:trHeight w:val="34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3.1 Număr de ore pe săptămână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din care ore curs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seminar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laborator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3.2. Numar ore pe semestru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din care ore curs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seminar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laborator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3.3.Distribuţia fondului de timp: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Studiul după manual, suport de curs, bibliografie şi notiţe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Documentare suplimentară în bibliotecă, pe platformele electronice de specialitate / pe teren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Pregătire seminarii / laboratoare, teme, referate, portofolii şi eseuri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Tutoriat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Examinări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Alte activităţi……………………………………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3.4 Total ore studiu individual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3.5 Total ore pe semestru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3.6 Numărul de credite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hanging="35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Precondiţii (acolo unde este cazul)</w:t>
      </w:r>
      <w:r w:rsidDel="00000000" w:rsidR="00000000" w:rsidRPr="00000000">
        <w:rPr>
          <w:rtl w:val="0"/>
        </w:rPr>
      </w:r>
    </w:p>
    <w:tbl>
      <w:tblPr>
        <w:tblStyle w:val="Table4"/>
        <w:tblW w:w="10217.0" w:type="dxa"/>
        <w:jc w:val="left"/>
        <w:tblInd w:w="-147.0" w:type="dxa"/>
        <w:tblLayout w:type="fixed"/>
        <w:tblLook w:val="0000"/>
      </w:tblPr>
      <w:tblGrid>
        <w:gridCol w:w="1985"/>
        <w:gridCol w:w="8232"/>
        <w:tblGridChange w:id="0">
          <w:tblGrid>
            <w:gridCol w:w="1985"/>
            <w:gridCol w:w="823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4.1 de curriculum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Consiliere psihopedagogică, Metode și tehnici de consiliere educațională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4.2 de competenţe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68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hanging="35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Condiţii (acolo unde este cazul)</w:t>
      </w:r>
      <w:r w:rsidDel="00000000" w:rsidR="00000000" w:rsidRPr="00000000">
        <w:rPr>
          <w:rtl w:val="0"/>
        </w:rPr>
      </w:r>
    </w:p>
    <w:tbl>
      <w:tblPr>
        <w:tblStyle w:val="Table5"/>
        <w:tblW w:w="10217.0" w:type="dxa"/>
        <w:jc w:val="left"/>
        <w:tblInd w:w="-147.0" w:type="dxa"/>
        <w:tblLayout w:type="fixed"/>
        <w:tblLook w:val="0000"/>
      </w:tblPr>
      <w:tblGrid>
        <w:gridCol w:w="4395"/>
        <w:gridCol w:w="5822"/>
        <w:tblGridChange w:id="0">
          <w:tblGrid>
            <w:gridCol w:w="4395"/>
            <w:gridCol w:w="582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5.1 de desfăşurare a cursului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68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citirea prealabilă a resurselor bibliografice indicate pentru fiecare curs;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68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prezența la curs cf. prevederilor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Codului drepturilor și obligațiilor studenților UVT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privind frecvența la cursuri (sala AM).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5.2 de desfăşurare a seminarului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68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citirea prealabilă a resurselor bibliografice indicate; 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68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prezența la seminar cf. prevederilor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Codului drepturilor și obligațiilor studenților UVT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privind frecvența la activitățile didactice.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68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realizarea sarcinilor de seminar, prin implicare activă și refexivă și colaborare;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68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respectarea prevederilor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Codului drepturilor și obligațiilor studenților UVT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privind frecvența la seminarii.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5.3 de desfăşurare a laboratorului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68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hanging="35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Obiectivele disciplinei - rezultate așteptate ale învățării la formarea cărora contribuie parcurgerea și promovarea disciplinei </w:t>
      </w:r>
      <w:r w:rsidDel="00000000" w:rsidR="00000000" w:rsidRPr="00000000">
        <w:rPr>
          <w:rtl w:val="0"/>
        </w:rPr>
      </w:r>
    </w:p>
    <w:tbl>
      <w:tblPr>
        <w:tblStyle w:val="Table6"/>
        <w:tblW w:w="10348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99"/>
        <w:gridCol w:w="8649"/>
        <w:tblGridChange w:id="0">
          <w:tblGrid>
            <w:gridCol w:w="1699"/>
            <w:gridCol w:w="8649"/>
          </w:tblGrid>
        </w:tblGridChange>
      </w:tblGrid>
      <w:tr>
        <w:trPr>
          <w:cantSplit w:val="1"/>
          <w:trHeight w:val="89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Cunoștințe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F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ESRC1. Studentul va putea să explice și să interpreteze critic teoriile relevante privind dezvoltarea și învățarea ființei umane, legitățile proceselor psihice și caracteristicile psihologice ale persoanelor cu dizabilități;</w:t>
            </w:r>
          </w:p>
          <w:p w:rsidR="00000000" w:rsidDel="00000000" w:rsidP="00000000" w:rsidRDefault="00000000" w:rsidRPr="00000000" w14:paraId="000000D0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jc w:val="both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ESRC6. Studentul va putea să analizeze și să interpreteze critic paradigmele emancipatoare, argumentele pentru incluziunea persoanelor cu dizabilități și strategiile de promovare și facilitare ale ei;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3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Abilități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ESRA1. Studentul va putea să aplice principiile psihologice și pedagogice pentru planificarea activităților instructiv-educative;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Responsabilitate și autonomie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4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ESRRA4. Promovarea non-discriminării și a echității în societate; </w:t>
            </w:r>
          </w:p>
          <w:p w:rsidR="00000000" w:rsidDel="00000000" w:rsidP="00000000" w:rsidRDefault="00000000" w:rsidRPr="00000000" w14:paraId="000000D5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ESRRA5. Promovarea și militarea pentru respectarea drepturilor persoanelor cu dizabilități; </w:t>
            </w:r>
          </w:p>
          <w:p w:rsidR="00000000" w:rsidDel="00000000" w:rsidP="00000000" w:rsidRDefault="00000000" w:rsidRPr="00000000" w14:paraId="000000D6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ESRRA6. Promovarea și militarea pentru integrarea socială, școlară și profesională a persoanelor cu dizabilități; </w:t>
            </w:r>
          </w:p>
          <w:p w:rsidR="00000000" w:rsidDel="00000000" w:rsidP="00000000" w:rsidRDefault="00000000" w:rsidRPr="00000000" w14:paraId="000000D7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ESRRA7. Respectarea codul deontologic al profesiei și a eticii profesionale.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8">
      <w:pPr>
        <w:rPr>
          <w:vertAlign w:val="baseline"/>
        </w:rPr>
        <w:sectPr>
          <w:headerReference r:id="rId7" w:type="default"/>
          <w:headerReference r:id="rId8" w:type="first"/>
          <w:pgSz w:h="15840" w:w="12240" w:orient="portrait"/>
          <w:pgMar w:bottom="1134" w:top="1134" w:left="851" w:right="851" w:header="709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hanging="35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Conţinuturi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ind w:left="72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Platforma prin care pot fi accesate suportul de curs în format electronic și alte resurse de învățare/bibliografice: </w:t>
      </w:r>
      <w:r w:rsidDel="00000000" w:rsidR="00000000" w:rsidRPr="00000000">
        <w:rPr>
          <w:highlight w:val="yellow"/>
          <w:vertAlign w:val="baseline"/>
          <w:rtl w:val="0"/>
        </w:rPr>
        <w:t xml:space="preserve">Classroom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650.0" w:type="dxa"/>
        <w:jc w:val="left"/>
        <w:tblInd w:w="-147.0" w:type="dxa"/>
        <w:tblLayout w:type="fixed"/>
        <w:tblLook w:val="0000"/>
      </w:tblPr>
      <w:tblGrid>
        <w:gridCol w:w="2700"/>
        <w:gridCol w:w="285"/>
        <w:gridCol w:w="2790"/>
        <w:gridCol w:w="615"/>
        <w:gridCol w:w="2550"/>
        <w:gridCol w:w="285"/>
        <w:gridCol w:w="1425"/>
        <w:tblGridChange w:id="0">
          <w:tblGrid>
            <w:gridCol w:w="2700"/>
            <w:gridCol w:w="285"/>
            <w:gridCol w:w="2790"/>
            <w:gridCol w:w="615"/>
            <w:gridCol w:w="2550"/>
            <w:gridCol w:w="285"/>
            <w:gridCol w:w="14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7.1 Curs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Metode de predare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Observaţii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3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</w:tabs>
              <w:spacing w:after="0" w:line="240" w:lineRule="auto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Consiliere și auto-evaluare</w:t>
            </w:r>
          </w:p>
          <w:p w:rsidR="00000000" w:rsidDel="00000000" w:rsidP="00000000" w:rsidRDefault="00000000" w:rsidRPr="00000000" w14:paraId="000000E4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</w:tabs>
              <w:spacing w:after="0" w:line="24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Self-concept, self-image, self-esteem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Rosenberg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Expunerea, conversația euristică, problematizarea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C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</w:tabs>
              <w:spacing w:after="0" w:line="24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Sistemul cognitiv uman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Sistemul de convingeri personale – structurare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Expunerea, conversația euristică, problematizarea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8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3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860"/>
                <w:tab w:val="left" w:leader="none" w:pos="32568"/>
              </w:tabs>
              <w:jc w:val="both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Convingeri iraționale și distorsiuni cognitive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Surse: trauma, stres, sistemul de valori culturale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Tipuri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Monitorizare GA și identificare distorsiuni cognitive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9">
            <w:pPr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Expunerea, conversația euristică, problematizarea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B">
            <w:pPr>
              <w:tabs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</w:tabs>
              <w:spacing w:after="0" w:line="240" w:lineRule="auto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D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860"/>
                <w:tab w:val="left" w:leader="none" w:pos="32568"/>
              </w:tabs>
              <w:jc w:val="both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Restructurare cognitivă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Reframe 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Testare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Tehnici de restructurare cognitivă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3">
            <w:pPr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Expunerea, conversația euristică, problematizarea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6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860"/>
                <w:tab w:val="left" w:leader="none" w:pos="32568"/>
              </w:tabs>
              <w:jc w:val="both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Stres și sănătate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Tipuri de stres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Efectul stresului asupra sănătății fizice și mintale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B">
            <w:pPr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Expunerea, conversația euristică, problematizarea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E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860"/>
                <w:tab w:val="left" w:leader="none" w:pos="32568"/>
              </w:tabs>
              <w:jc w:val="both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Stare de bine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Teorii și modele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Starea de bine în mediul educațional și profesional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3">
            <w:pPr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Expunerea, conversația euristică, problematizarea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6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860"/>
                <w:tab w:val="left" w:leader="none" w:pos="32568"/>
              </w:tabs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Strategii și metode de reducere a stresului și de creștere a stării de bine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Factori de risc și factori de reziliență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Factori cognitivi și factori comportamentali (stil de viață)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B">
            <w:pPr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Expunerea, conversația euristică, problematizarea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Bibliografie</w:t>
            </w:r>
          </w:p>
          <w:p w:rsidR="00000000" w:rsidDel="00000000" w:rsidP="00000000" w:rsidRDefault="00000000" w:rsidRPr="00000000" w14:paraId="00000126">
            <w:pPr>
              <w:tabs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</w:tabs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Bor, R.; Palmer, S. (eds.) (2002). A Beginners Guide to Training in Counselling &amp; Psychotherapy, London: Sage Publications.</w:t>
            </w:r>
          </w:p>
          <w:p w:rsidR="00000000" w:rsidDel="00000000" w:rsidP="00000000" w:rsidRDefault="00000000" w:rsidRPr="00000000" w14:paraId="00000127">
            <w:pPr>
              <w:tabs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</w:tabs>
              <w:spacing w:after="0" w:line="240" w:lineRule="auto"/>
              <w:ind w:left="720" w:hanging="720"/>
              <w:jc w:val="both"/>
              <w:rPr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Georgescu, M. (2009). Introducere în consilierea psihologică, </w:t>
            </w:r>
            <w:r w:rsidDel="00000000" w:rsidR="00000000" w:rsidRPr="00000000">
              <w:rPr>
                <w:sz w:val="20"/>
                <w:szCs w:val="20"/>
                <w:highlight w:val="white"/>
                <w:vertAlign w:val="baseline"/>
                <w:rtl w:val="0"/>
              </w:rPr>
              <w:t xml:space="preserve">Editura Fundatia Romania de Maine.</w:t>
            </w:r>
          </w:p>
          <w:p w:rsidR="00000000" w:rsidDel="00000000" w:rsidP="00000000" w:rsidRDefault="00000000" w:rsidRPr="00000000" w14:paraId="00000128">
            <w:pPr>
              <w:tabs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</w:tabs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Kapur, . (2011). </w:t>
            </w:r>
            <w:r w:rsidDel="00000000" w:rsidR="00000000" w:rsidRPr="00000000">
              <w:rPr>
                <w:vertAlign w:val="baseline"/>
                <w:rtl w:val="0"/>
              </w:rPr>
              <w:t xml:space="preserve">Counselling Children with Psychological Problems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. Delhi: Pearson.</w:t>
            </w:r>
          </w:p>
          <w:p w:rsidR="00000000" w:rsidDel="00000000" w:rsidP="00000000" w:rsidRDefault="00000000" w:rsidRPr="00000000" w14:paraId="00000129">
            <w:pPr>
              <w:tabs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</w:tabs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Sommers-Flanagan, J.; Sommers-Flanagan, S. (2004). Counseling and Psychotherapy theories in context and practice. Skills, Strategies, and Techniques, Hoboken, New Jersey: John Wiley &amp; Sons, Inc.</w:t>
            </w:r>
          </w:p>
          <w:p w:rsidR="00000000" w:rsidDel="00000000" w:rsidP="00000000" w:rsidRDefault="00000000" w:rsidRPr="00000000" w14:paraId="0000012A">
            <w:pPr>
              <w:tabs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</w:tabs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Bibliografie suplimentară:</w:t>
            </w:r>
          </w:p>
          <w:p w:rsidR="00000000" w:rsidDel="00000000" w:rsidP="00000000" w:rsidRDefault="00000000" w:rsidRPr="00000000" w14:paraId="0000012B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Alves-Martins, M.; Peixoto, P.; Gouveia-Pereira, M.; Amaral, V., &amp; Pedro, I. (2002). Self-esteem and Academic Achievement Among Adolescents,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vertAlign w:val="baseline"/>
                <w:rtl w:val="0"/>
              </w:rPr>
              <w:t xml:space="preserve">Educational Psychology: An International Journal of Experimental Educational Psychology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, 22:1, 51-62, </w:t>
            </w:r>
            <w:hyperlink r:id="rId9">
              <w:r w:rsidDel="00000000" w:rsidR="00000000" w:rsidRPr="00000000">
                <w:rPr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http://dx.doi.org/10.1080/01443410120101242</w:t>
              </w:r>
            </w:hyperlink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2C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Burton, N. (2015). Self-Confidence Versus Self-Esteem. Retrieved from </w:t>
            </w:r>
            <w:hyperlink r:id="rId10">
              <w:r w:rsidDel="00000000" w:rsidR="00000000" w:rsidRPr="00000000">
                <w:rPr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https://www.psychologytoday.com/us/blog/hide-and-seek/201510/self-confidence-versus-self-esteem</w:t>
              </w:r>
            </w:hyperlink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2D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bookmarkStart w:colFirst="0" w:colLast="0" w:name="_heading=h.1p424y1qif8s" w:id="0"/>
            <w:bookmarkEnd w:id="0"/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Butler, R.J.; &amp; Gasson, S.L. (2005). Self Esteem/Self Concept Scales for Children and Adolescents: A Review.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vertAlign w:val="baseline"/>
                <w:rtl w:val="0"/>
              </w:rPr>
              <w:t xml:space="preserve">Child and Adolescent Mental Health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, Volume 10, No. 4, 2005, pp. 190–201, DOI: 10.1111/j.1475-3588.2005.00368.x.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Darjan, I., Predescu; M, &amp; Tomita, M (2017). Functions of Aggressive Behaviours – Implications for Intervention, Journal of Psychological and Educational Research, 25 (1a), 74-91.</w:t>
            </w:r>
          </w:p>
          <w:p w:rsidR="00000000" w:rsidDel="00000000" w:rsidP="00000000" w:rsidRDefault="00000000" w:rsidRPr="00000000" w14:paraId="0000012F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Darjan, I.; Predescu, M.; &amp; Tomita, M. (2017). Mass supervision in school context, in Tomita, M. (2017). Multidisciplinary Perspectives in the Quasi-Coercive Treatment of Offenders. Mass Supervision, Bologna: Filodiritto Editore – Proceedings, 23-30.</w:t>
            </w:r>
          </w:p>
          <w:p w:rsidR="00000000" w:rsidDel="00000000" w:rsidP="00000000" w:rsidRDefault="00000000" w:rsidRPr="00000000" w14:paraId="00000130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Darjan, I.; Luștrea, A.; &amp; Predescu, M. (2016). Rolul școlii în promovarea rezilienței copiilor cu dificultăți de învățare, în Crașovan, M. (coord) (2016). Educatie-evaluare-integrare, Timisoara: Ed. Universității de Vest, 232-245.</w:t>
              <w:br w:type="textWrapping"/>
            </w:r>
          </w:p>
          <w:p w:rsidR="00000000" w:rsidDel="00000000" w:rsidP="00000000" w:rsidRDefault="00000000" w:rsidRPr="00000000" w14:paraId="00000131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Gendron, B. P., Williams, R. K., &amp; Guerra, G. N. (2011). An analysis of bullying among students within schools: Estimating the effects of individual normative beliefs, self-esteem, and school climate.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vertAlign w:val="baseline"/>
                <w:rtl w:val="0"/>
              </w:rPr>
              <w:t xml:space="preserve">Journal of School Violence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, 10,150–164.</w:t>
            </w:r>
          </w:p>
          <w:p w:rsidR="00000000" w:rsidDel="00000000" w:rsidP="00000000" w:rsidRDefault="00000000" w:rsidRPr="00000000" w14:paraId="00000132">
            <w:pPr>
              <w:spacing w:after="0" w:line="240" w:lineRule="auto"/>
              <w:ind w:left="720" w:hanging="720"/>
              <w:jc w:val="both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Grădinaru, C.; Stănculeanu, D.; &amp; Manole, M. (2016). </w:t>
            </w:r>
            <w:r w:rsidDel="00000000" w:rsidR="00000000" w:rsidRPr="00000000">
              <w:rPr>
                <w:i w:val="1"/>
                <w:iCs w:val="1"/>
                <w:color w:val="000000"/>
                <w:sz w:val="20"/>
                <w:szCs w:val="20"/>
                <w:vertAlign w:val="baseline"/>
                <w:rtl w:val="0"/>
              </w:rPr>
              <w:t xml:space="preserve">Bullying-ul în rândul copiilor studiu sociologic la nivel national, </w:t>
            </w: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Salvaţi Copiii. Retrived from </w:t>
            </w:r>
            <w:hyperlink r:id="rId11">
              <w:r w:rsidDel="00000000" w:rsidR="00000000" w:rsidRPr="00000000">
                <w:rPr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https://www.salvaticopiii.ro/sci-ro/files/10/10551dfa-f0b2-4cb0-a103-08d811dc31a9.pdf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133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a0a0a"/>
                <w:sz w:val="20"/>
                <w:szCs w:val="20"/>
                <w:highlight w:val="white"/>
                <w:vertAlign w:val="baseline"/>
                <w:rtl w:val="0"/>
              </w:rPr>
              <w:t xml:space="preserve">Hibbert, C. (2013).</w:t>
            </w:r>
            <w:r w:rsidDel="00000000" w:rsidR="00000000" w:rsidRPr="00000000">
              <w:rPr>
                <w:sz w:val="20"/>
                <w:szCs w:val="20"/>
                <w:highlight w:val="white"/>
                <w:vertAlign w:val="baseline"/>
                <w:rtl w:val="0"/>
              </w:rPr>
              <w:t xml:space="preserve">If Self-Esteem is a Myth, then What is the Truth: Understanding Self-Worth</w:t>
            </w:r>
            <w:r w:rsidDel="00000000" w:rsidR="00000000" w:rsidRPr="00000000">
              <w:rPr>
                <w:color w:val="0a0a0a"/>
                <w:sz w:val="20"/>
                <w:szCs w:val="20"/>
                <w:highlight w:val="white"/>
                <w:vertAlign w:val="baseline"/>
                <w:rtl w:val="0"/>
              </w:rPr>
              <w:t xml:space="preserve">. Retrieved from </w:t>
            </w:r>
            <w:hyperlink r:id="rId12">
              <w:r w:rsidDel="00000000" w:rsidR="00000000" w:rsidRPr="00000000">
                <w:rPr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https://www.drchristinahibbert.com/if-self-esteem-is-a-myth-then-what-is-the-truth-understanding-self-worth/</w:t>
              </w:r>
            </w:hyperlink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34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Long, J.E.; Long, N.J.; &amp; Whitson, S. (2017). The Angry Smile, Hagerstown: LSCI Institute.</w:t>
            </w:r>
          </w:p>
          <w:p w:rsidR="00000000" w:rsidDel="00000000" w:rsidP="00000000" w:rsidRDefault="00000000" w:rsidRPr="00000000" w14:paraId="00000135">
            <w:pPr>
              <w:spacing w:after="0" w:line="240" w:lineRule="auto"/>
              <w:ind w:left="720" w:hanging="720"/>
              <w:jc w:val="both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McLeod, S. A. (2008). Social Identity Theory. Retrieved from </w:t>
            </w:r>
            <w:hyperlink r:id="rId13">
              <w:r w:rsidDel="00000000" w:rsidR="00000000" w:rsidRPr="00000000">
                <w:rPr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www.simplypsychology.org/social-identity-theory.html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bookmarkStart w:colFirst="0" w:colLast="0" w:name="_heading=h.6br5xdy6q2uu" w:id="1"/>
            <w:bookmarkEnd w:id="1"/>
            <w:r w:rsidDel="00000000" w:rsidR="00000000" w:rsidRPr="00000000">
              <w:rPr>
                <w:color w:val="333333"/>
                <w:sz w:val="20"/>
                <w:szCs w:val="20"/>
                <w:highlight w:val="white"/>
                <w:vertAlign w:val="baseline"/>
                <w:rtl w:val="0"/>
              </w:rPr>
              <w:t xml:space="preserve">Neff, K. D. (2008). </w:t>
            </w:r>
            <w:r w:rsidDel="00000000" w:rsidR="00000000" w:rsidRPr="00000000">
              <w:rPr>
                <w:i w:val="1"/>
                <w:iCs w:val="1"/>
                <w:color w:val="333333"/>
                <w:sz w:val="20"/>
                <w:szCs w:val="20"/>
                <w:highlight w:val="white"/>
                <w:vertAlign w:val="baseline"/>
                <w:rtl w:val="0"/>
              </w:rPr>
              <w:t xml:space="preserve">Self-compassion: Moving beyond the pitfalls of a separate self-concept.</w:t>
            </w:r>
            <w:r w:rsidDel="00000000" w:rsidR="00000000" w:rsidRPr="00000000">
              <w:rPr>
                <w:color w:val="333333"/>
                <w:sz w:val="20"/>
                <w:szCs w:val="20"/>
                <w:highlight w:val="white"/>
                <w:vertAlign w:val="baseline"/>
                <w:rtl w:val="0"/>
              </w:rPr>
              <w:t xml:space="preserve"> In H. A. Wayment &amp; J. J. Bauer (Eds.), </w:t>
            </w:r>
            <w:r w:rsidDel="00000000" w:rsidR="00000000" w:rsidRPr="00000000">
              <w:rPr>
                <w:i w:val="1"/>
                <w:iCs w:val="1"/>
                <w:color w:val="333333"/>
                <w:sz w:val="20"/>
                <w:szCs w:val="20"/>
                <w:highlight w:val="white"/>
                <w:vertAlign w:val="baseline"/>
                <w:rtl w:val="0"/>
              </w:rPr>
              <w:t xml:space="preserve">Decade of behavior. Transcending self-interest: Psychological explorations of the quiet ego</w:t>
            </w:r>
            <w:r w:rsidDel="00000000" w:rsidR="00000000" w:rsidRPr="00000000">
              <w:rPr>
                <w:color w:val="333333"/>
                <w:sz w:val="20"/>
                <w:szCs w:val="20"/>
                <w:highlight w:val="white"/>
                <w:vertAlign w:val="baseline"/>
                <w:rtl w:val="0"/>
              </w:rPr>
              <w:t xml:space="preserve"> (p. 95–105). American Psychological Association. </w:t>
            </w:r>
            <w:hyperlink r:id="rId14">
              <w:r w:rsidDel="00000000" w:rsidR="00000000" w:rsidRPr="00000000">
                <w:rPr>
                  <w:color w:val="0563c1"/>
                  <w:sz w:val="20"/>
                  <w:szCs w:val="20"/>
                  <w:highlight w:val="white"/>
                  <w:u w:val="single"/>
                  <w:vertAlign w:val="baseline"/>
                  <w:rtl w:val="0"/>
                </w:rPr>
                <w:t xml:space="preserve">https://doi.org/10.1037/11771-009</w:t>
              </w:r>
            </w:hyperlink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37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Neff, K. D. (2011). Self-Compassion, Self-Esteem, and Well-Being.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vertAlign w:val="baseline"/>
                <w:rtl w:val="0"/>
              </w:rPr>
              <w:t xml:space="preserve">Social and Personality Psychology Compass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5/1 (2011): 1–12, 10.1111/j.1751-9004.2010.00330.x.</w:t>
            </w:r>
          </w:p>
          <w:p w:rsidR="00000000" w:rsidDel="00000000" w:rsidP="00000000" w:rsidRDefault="00000000" w:rsidRPr="00000000" w14:paraId="00000138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Neill, J. (2005). Definitions of Various Self Constructs: Self-esteem, self-efficacy, self-confidence &amp; self-concept. Retrieved from </w:t>
            </w:r>
            <w:hyperlink r:id="rId15">
              <w:r w:rsidDel="00000000" w:rsidR="00000000" w:rsidRPr="00000000">
                <w:rPr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http://wilderdom.com/self/</w:t>
              </w:r>
            </w:hyperlink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39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Oreg, S. (2003). Resistance to Change: Developing an Individual Differences Measure</w:t>
            </w:r>
            <w:r w:rsidDel="00000000" w:rsidR="00000000" w:rsidRPr="00000000">
              <w:rPr>
                <w:i w:val="1"/>
                <w:iCs w:val="1"/>
                <w:color w:val="000000"/>
                <w:sz w:val="20"/>
                <w:szCs w:val="20"/>
                <w:vertAlign w:val="baseline"/>
                <w:rtl w:val="0"/>
              </w:rPr>
              <w:t xml:space="preserve">. Journal of Applied Psychology,</w:t>
            </w: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 88(4), p. 680-693. </w:t>
            </w:r>
            <w:hyperlink r:id="rId16">
              <w:r w:rsidDel="00000000" w:rsidR="00000000" w:rsidRPr="00000000">
                <w:rPr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www.businesspsych.org</w:t>
              </w:r>
            </w:hyperlink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3A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Oreg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, S. (2006). Personality, context, and resistance to organizational change.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vertAlign w:val="baseline"/>
                <w:rtl w:val="0"/>
              </w:rPr>
              <w:t xml:space="preserve">European Journal of Work and Organizational Psychology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, 15:1, p. 73-101, </w:t>
            </w:r>
            <w:r w:rsidDel="00000000" w:rsidR="00000000" w:rsidRPr="00000000">
              <w:rPr>
                <w:color w:val="0000ff"/>
                <w:sz w:val="20"/>
                <w:szCs w:val="20"/>
                <w:vertAlign w:val="baseline"/>
                <w:rtl w:val="0"/>
              </w:rPr>
              <w:t xml:space="preserve">http://dx.doi.org/10.1080/13594320500451247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3B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Oreg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, S. (2017). Resistance to Change and Performance: Toward a More Even-Handed View of Dispositional Resistance.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vertAlign w:val="baseline"/>
                <w:rtl w:val="0"/>
              </w:rPr>
              <w:t xml:space="preserve">The Journal of Applied Behavioral Science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, 00(0), p. 1–20, DOI: 10.1177/0021886317741867. </w:t>
            </w:r>
          </w:p>
          <w:p w:rsidR="00000000" w:rsidDel="00000000" w:rsidP="00000000" w:rsidRDefault="00000000" w:rsidRPr="00000000" w14:paraId="0000013C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color w:val="2c2d30"/>
                <w:sz w:val="20"/>
                <w:szCs w:val="20"/>
                <w:highlight w:val="white"/>
                <w:vertAlign w:val="baseline"/>
                <w:rtl w:val="0"/>
              </w:rPr>
              <w:t xml:space="preserve">Pickhardt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,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C. (2018). Who Stole My Child? Retrieved from </w:t>
            </w:r>
            <w:hyperlink r:id="rId17">
              <w:r w:rsidDel="00000000" w:rsidR="00000000" w:rsidRPr="00000000">
                <w:rPr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https://www.psychologytoday.com/us/blog/the-author-speaks/201811/who-stole-my-child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72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434343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43434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Ploeg, R. V. D.; Steglich, C.; &amp; Veenstra, R. (2020). The way bullying works: How new ties facilitate the mutual reinforcement of status and bullying in elementary schools.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43434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Social Networks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43434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60:71-82. DOI:10.1016/j.socnet.2018.12.006.</w:t>
            </w:r>
          </w:p>
          <w:p w:rsidR="00000000" w:rsidDel="00000000" w:rsidP="00000000" w:rsidRDefault="00000000" w:rsidRPr="00000000" w14:paraId="0000013E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Rathus, S. A. (1973). A 30-item schedule for assessing assertive behavior.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vertAlign w:val="baseline"/>
                <w:rtl w:val="0"/>
              </w:rPr>
              <w:t xml:space="preserve">Behavior Therapy, 4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, 398–406, </w:t>
            </w:r>
            <w:r w:rsidDel="00000000" w:rsidR="00000000" w:rsidRPr="00000000">
              <w:rPr>
                <w:color w:val="333333"/>
                <w:sz w:val="20"/>
                <w:szCs w:val="20"/>
                <w:vertAlign w:val="baseline"/>
                <w:rtl w:val="0"/>
              </w:rPr>
              <w:t xml:space="preserve">DOI: 10.1016/s0005-7894(73)80120-0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3F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Tsaousis, I. (2016). The relationship of self-esteem to bullying perpetration and peer victimization among schoolchildren and adolescents: A meta-analytic review,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vertAlign w:val="baseline"/>
                <w:rtl w:val="0"/>
              </w:rPr>
              <w:t xml:space="preserve">Aggression and Violent Behavior,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31 (2016), 186-199.</w:t>
            </w:r>
          </w:p>
          <w:p w:rsidR="00000000" w:rsidDel="00000000" w:rsidP="00000000" w:rsidRDefault="00000000" w:rsidRPr="00000000" w14:paraId="00000140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bookmarkStart w:colFirst="0" w:colLast="0" w:name="_heading=h.85ecnn16wz69" w:id="2"/>
            <w:bookmarkEnd w:id="2"/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Vagos, P., &amp; Pereira, A. (2008). A cognitive model for assertiveness [Abstract]. Proceedings of the Division of Clinical Psychology Annual Conference, London (pp. 58–59). Available from http:// </w:t>
            </w:r>
            <w:hyperlink r:id="rId18">
              <w:r w:rsidDel="00000000" w:rsidR="00000000" w:rsidRPr="00000000">
                <w:rPr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www.dcpconference.co.uk/dcp-conference/2008-conference/2008- conference_home.cfm</w:t>
              </w:r>
            </w:hyperlink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141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Valkenburg, P. M.; Peter, J.; &amp; Schouten, A P. (2006). Friend Networking Sites and Their Relationship to Adolescents’ Well-Being and Social Self-Esteem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vertAlign w:val="baseline"/>
                <w:rtl w:val="0"/>
              </w:rPr>
              <w:t xml:space="preserve">. Cyberpsychology &amp; Behavior,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Volume 9, Number 5, 584-590, https://www.researchgate.net/publication/6761621_Friend_Networking_Sites_and_Their_Relationship_to_Adolescents'_Well-Being_and_Social_Self-Esteem </w:t>
            </w:r>
            <w:hyperlink r:id="rId19">
              <w:r w:rsidDel="00000000" w:rsidR="00000000" w:rsidRPr="00000000">
                <w:rPr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https://www.researchgate.net/publication/6761621_Friend_Networking_Sites_and_Their_Relationship_to_Adolescents'_Well-Being_and_Social_Self-Esteem</w:t>
              </w:r>
            </w:hyperlink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142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Whitson, S. (2011). How to Be Angry. An Assertive Anger Expression Group Guide for Kids and Teens, London: Jessica Kingsley Publishers.</w:t>
            </w:r>
          </w:p>
          <w:p w:rsidR="00000000" w:rsidDel="00000000" w:rsidP="00000000" w:rsidRDefault="00000000" w:rsidRPr="00000000" w14:paraId="00000143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bookmarkStart w:colFirst="0" w:colLast="0" w:name="_heading=h.mqnipdvyyvob" w:id="3"/>
            <w:bookmarkEnd w:id="3"/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WHO (2016). Fact sheet: Bullying and physical fights among adolescents. Retrieved from </w:t>
            </w:r>
            <w:hyperlink r:id="rId20">
              <w:r w:rsidDel="00000000" w:rsidR="00000000" w:rsidRPr="00000000">
                <w:rPr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https://www.euro.who.int/__data/assets/pdf_file/0005/303485/HBSC-No.7_factsheet_Bullying.pdf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WHO (2020). 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Spotlight on adolescent health and well-being. Findings from the 2017/2018 health behaviour in school-aged children (HBSC) survey in Europe and Canada international report, Vol. 1. KEY FINDINGS. Retrieved from </w:t>
            </w:r>
            <w:hyperlink r:id="rId21">
              <w:r w:rsidDel="00000000" w:rsidR="00000000" w:rsidRPr="00000000">
                <w:rPr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https://apps.who.int/iris/bitstream/handle/10665/332091/9789289055000-eng.pdf</w:t>
              </w:r>
            </w:hyperlink>
            <w:r w:rsidDel="00000000" w:rsidR="00000000" w:rsidRPr="00000000">
              <w:rPr>
                <w:color w:val="0563c1"/>
                <w:sz w:val="20"/>
                <w:szCs w:val="20"/>
                <w:u w:val="single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tabs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</w:tabs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Wosnitza, M., Peixoto, F., Beltman, S., &amp; Mansfield, C. F. (Eds.). (2018). Resilience in education: Concepts, contexts and connections. Cham, Switzerland, Springer International Publishing. </w:t>
            </w:r>
          </w:p>
          <w:p w:rsidR="00000000" w:rsidDel="00000000" w:rsidP="00000000" w:rsidRDefault="00000000" w:rsidRPr="00000000" w14:paraId="00000146">
            <w:pPr>
              <w:tabs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</w:tabs>
              <w:spacing w:after="0" w:line="240" w:lineRule="auto"/>
              <w:ind w:left="720" w:hanging="720"/>
              <w:jc w:val="both"/>
              <w:rPr>
                <w:sz w:val="20"/>
                <w:szCs w:val="20"/>
                <w:vertAlign w:val="baseline"/>
              </w:rPr>
            </w:pPr>
            <w:hyperlink r:id="rId22">
              <w:r w:rsidDel="00000000" w:rsidR="00000000" w:rsidRPr="00000000">
                <w:rPr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https://positivepsychology.com/</w:t>
              </w:r>
            </w:hyperlink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7.2. Seminar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Teme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Metode de lucru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Observaţii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2.2851562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4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</w:tabs>
              <w:spacing w:after="0" w:line="240" w:lineRule="auto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Consiliere și auto-evaluare</w:t>
            </w:r>
          </w:p>
          <w:p w:rsidR="00000000" w:rsidDel="00000000" w:rsidP="00000000" w:rsidRDefault="00000000" w:rsidRPr="00000000" w14:paraId="00000155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</w:tabs>
              <w:spacing w:after="0" w:line="24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Self-concept, self-image, self-esteem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Rosenberg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9">
            <w:pPr>
              <w:spacing w:after="0" w:lineRule="auto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Studiu de caz, conversații, problematizare, exerciții practice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427.2851562499999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D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</w:tabs>
              <w:spacing w:after="0" w:line="24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Sistemul cognitiv uman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ABC cognitiv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ATQ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1">
            <w:pPr>
              <w:spacing w:after="0" w:lineRule="auto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Studiu de caz, conversații, problematizare, exerciții practice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5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860"/>
                <w:tab w:val="left" w:leader="none" w:pos="32568"/>
              </w:tabs>
              <w:jc w:val="both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Distorsiuni cognitive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Monitorizare GA și identificare distorsiuni cognitive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8">
            <w:pPr>
              <w:spacing w:after="0" w:lineRule="auto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Studiu de caz, conversații, problematizare, exerciții practice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C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860"/>
                <w:tab w:val="left" w:leader="none" w:pos="32568"/>
              </w:tabs>
              <w:jc w:val="both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Restructurare cognitivă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Tehnici de restructurare cognitivă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F">
            <w:pPr>
              <w:spacing w:after="0" w:lineRule="auto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Studiu de caz, conversații, problematizare, exerciții practice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3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860"/>
                <w:tab w:val="left" w:leader="none" w:pos="32568"/>
              </w:tabs>
              <w:jc w:val="both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Stres și sănătate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Stres perceput (Cohen)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6">
            <w:pPr>
              <w:spacing w:after="0" w:lineRule="auto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Studiu de caz, conversații, problematizare, exerciții practice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A">
            <w:pPr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-19516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860"/>
                <w:tab w:val="left" w:leader="none" w:pos="32568"/>
              </w:tabs>
              <w:jc w:val="both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Stare de bine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Wellbeing (Warwick)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D">
            <w:pPr>
              <w:spacing w:after="0" w:lineRule="auto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Studiu de caz, conversații, problematizare, exerciții practice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Resurse: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f1111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23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i w:val="0"/>
                  <w:iCs w:val="0"/>
                  <w:smallCaps w:val="0"/>
                  <w:strike w:val="0"/>
                  <w:color w:val="0066c0"/>
                  <w:sz w:val="20"/>
                  <w:szCs w:val="20"/>
                  <w:u w:val="none"/>
                  <w:shd w:fill="auto" w:val="clear"/>
                  <w:vertAlign w:val="baseline"/>
                  <w:rtl w:val="0"/>
                </w:rPr>
                <w:br w:type="textWrapping"/>
              </w:r>
            </w:hyperlink>
            <w:hyperlink r:id="rId24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i w:val="0"/>
                  <w:iCs w:val="0"/>
                  <w:smallCaps w:val="0"/>
                  <w:strike w:val="0"/>
                  <w:color w:val="0066c0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The DBT Deck for Clients and Therapists: 101 Mindful Practices to Manage Distress, Regulate Emotions &amp; Build Better Relationships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shd w:fill="ffffff" w:val="clear"/>
              <w:spacing w:after="0" w:line="240" w:lineRule="auto"/>
              <w:rPr>
                <w:color w:val="0f111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f1111"/>
                <w:sz w:val="20"/>
                <w:szCs w:val="20"/>
                <w:vertAlign w:val="baseline"/>
                <w:rtl w:val="0"/>
              </w:rPr>
              <w:t xml:space="preserve">Lane Pederson</w:t>
            </w:r>
          </w:p>
          <w:p w:rsidR="00000000" w:rsidDel="00000000" w:rsidP="00000000" w:rsidRDefault="00000000" w:rsidRPr="00000000" w14:paraId="0000018B">
            <w:pPr>
              <w:shd w:fill="ffffff" w:val="clear"/>
              <w:spacing w:after="0" w:line="240" w:lineRule="auto"/>
              <w:rPr>
                <w:color w:val="0f1111"/>
                <w:sz w:val="20"/>
                <w:szCs w:val="20"/>
                <w:vertAlign w:val="baseline"/>
              </w:rPr>
            </w:pPr>
            <w:hyperlink r:id="rId25">
              <w:r w:rsidDel="00000000" w:rsidR="00000000" w:rsidRPr="00000000">
                <w:rPr>
                  <w:color w:val="0066c0"/>
                  <w:sz w:val="20"/>
                  <w:szCs w:val="20"/>
                  <w:u w:val="single"/>
                  <w:vertAlign w:val="baseline"/>
                  <w:rtl w:val="0"/>
                </w:rPr>
                <w:t xml:space="preserve">CBT Counseling &amp; Coaching Card Deck: 50 Evidence-Based Tools to Promote Change &amp; Personal Growth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shd w:fill="ffffff" w:val="clear"/>
              <w:spacing w:after="0" w:line="240" w:lineRule="auto"/>
              <w:rPr>
                <w:color w:val="0f111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f1111"/>
                <w:sz w:val="20"/>
                <w:szCs w:val="20"/>
                <w:vertAlign w:val="baseline"/>
                <w:rtl w:val="0"/>
              </w:rPr>
              <w:t xml:space="preserve">Jeff Riggenbach</w:t>
            </w:r>
          </w:p>
          <w:p w:rsidR="00000000" w:rsidDel="00000000" w:rsidP="00000000" w:rsidRDefault="00000000" w:rsidRPr="00000000" w14:paraId="0000018D">
            <w:pPr>
              <w:shd w:fill="ffffff" w:val="clear"/>
              <w:spacing w:after="0" w:line="240" w:lineRule="auto"/>
              <w:rPr>
                <w:color w:val="0f1111"/>
                <w:sz w:val="20"/>
                <w:szCs w:val="20"/>
                <w:vertAlign w:val="baseline"/>
              </w:rPr>
            </w:pPr>
            <w:hyperlink r:id="rId26">
              <w:r w:rsidDel="00000000" w:rsidR="00000000" w:rsidRPr="00000000">
                <w:rPr>
                  <w:color w:val="0066c0"/>
                  <w:sz w:val="20"/>
                  <w:szCs w:val="20"/>
                  <w:u w:val="single"/>
                  <w:vertAlign w:val="baseline"/>
                  <w:rtl w:val="0"/>
                </w:rPr>
                <w:t xml:space="preserve">The Dialectical Behavior Therapy Skills Card Deck: 52 Practices to Balance Your Emotions Every Day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shd w:fill="ffffff" w:val="clear"/>
              <w:spacing w:after="0" w:line="240" w:lineRule="auto"/>
              <w:rPr>
                <w:color w:val="0f111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f1111"/>
                <w:sz w:val="20"/>
                <w:szCs w:val="20"/>
                <w:vertAlign w:val="baseline"/>
                <w:rtl w:val="0"/>
              </w:rPr>
              <w:t xml:space="preserve">McKay PhD, Matthew</w:t>
            </w:r>
          </w:p>
          <w:p w:rsidR="00000000" w:rsidDel="00000000" w:rsidP="00000000" w:rsidRDefault="00000000" w:rsidRPr="00000000" w14:paraId="0000018F">
            <w:pPr>
              <w:shd w:fill="ffffff" w:val="clear"/>
              <w:spacing w:after="0" w:line="240" w:lineRule="auto"/>
              <w:rPr>
                <w:color w:val="0f1111"/>
                <w:sz w:val="20"/>
                <w:szCs w:val="20"/>
                <w:vertAlign w:val="baseline"/>
              </w:rPr>
            </w:pPr>
            <w:hyperlink r:id="rId27">
              <w:r w:rsidDel="00000000" w:rsidR="00000000" w:rsidRPr="00000000">
                <w:rPr>
                  <w:color w:val="0066c0"/>
                  <w:sz w:val="20"/>
                  <w:szCs w:val="20"/>
                  <w:u w:val="single"/>
                  <w:vertAlign w:val="baseline"/>
                  <w:rtl w:val="0"/>
                </w:rPr>
                <w:t xml:space="preserve">The Motivational Interviewing Workbook: Exercises to Decide What You Want and How to Get There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shd w:fill="ffffff" w:val="clear"/>
              <w:spacing w:after="0" w:line="240" w:lineRule="auto"/>
              <w:rPr>
                <w:color w:val="0f111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f1111"/>
                <w:sz w:val="20"/>
                <w:szCs w:val="20"/>
                <w:vertAlign w:val="baseline"/>
                <w:rtl w:val="0"/>
              </w:rPr>
              <w:t xml:space="preserve">Wood PhD, Angela</w:t>
            </w:r>
          </w:p>
          <w:p w:rsidR="00000000" w:rsidDel="00000000" w:rsidP="00000000" w:rsidRDefault="00000000" w:rsidRPr="00000000" w14:paraId="00000191">
            <w:pPr>
              <w:shd w:fill="ffffff" w:val="clear"/>
              <w:spacing w:after="0" w:line="240" w:lineRule="auto"/>
              <w:rPr>
                <w:color w:val="0f1111"/>
                <w:sz w:val="20"/>
                <w:szCs w:val="20"/>
                <w:vertAlign w:val="baseline"/>
              </w:rPr>
            </w:pPr>
            <w:hyperlink r:id="rId28">
              <w:r w:rsidDel="00000000" w:rsidR="00000000" w:rsidRPr="00000000">
                <w:rPr>
                  <w:color w:val="0066c0"/>
                  <w:sz w:val="20"/>
                  <w:szCs w:val="20"/>
                  <w:u w:val="single"/>
                  <w:vertAlign w:val="baseline"/>
                  <w:rtl w:val="0"/>
                </w:rPr>
                <w:t xml:space="preserve">The CBT Deck: 101 Practices to Improve Thoughts, Be in the Moment &amp; Take Action in Your Life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shd w:fill="ffffff" w:val="clear"/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color w:val="0f1111"/>
                <w:sz w:val="20"/>
                <w:szCs w:val="20"/>
                <w:vertAlign w:val="baseline"/>
                <w:rtl w:val="0"/>
              </w:rPr>
              <w:t xml:space="preserve">Seth Gillihan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hanging="35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Coroborarea conținuturilor disciplinei cu așteptările reprezentanților comunității epistemice, asociațiilor profesionale și angajatori reprezentativi din domeniul aferent programului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00.0" w:type="dxa"/>
        <w:jc w:val="left"/>
        <w:tblInd w:w="606.0000000000001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Disciplina dezvoltă competențe profesionale, transversale și personale relevante și necesare exercitării profesiei de consilier. Disciplina prezintă teorii actuale în domeniul consilierii și dezvoltă abilități de auto-cunoaștere, dar și de asistență și intervenție psiho-pedagogică.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11111"/>
          <w:sz w:val="22"/>
          <w:szCs w:val="22"/>
          <w:u w:val="none"/>
          <w:shd w:fill="auto" w:val="clear"/>
          <w:vertAlign w:val="baseline"/>
          <w:rtl w:val="0"/>
        </w:rPr>
        <w:t xml:space="preserve">Utilizarea instrumentelor bazate pe inteligența artificială generativă</w:t>
      </w:r>
      <w:r w:rsidDel="00000000" w:rsidR="00000000" w:rsidRPr="00000000">
        <w:rPr>
          <w:rtl w:val="0"/>
        </w:rPr>
      </w:r>
    </w:p>
    <w:tbl>
      <w:tblPr>
        <w:tblStyle w:val="Table9"/>
        <w:tblW w:w="10348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48"/>
        <w:tblGridChange w:id="0">
          <w:tblGrid>
            <w:gridCol w:w="10348"/>
          </w:tblGrid>
        </w:tblGridChange>
      </w:tblGrid>
      <w:tr>
        <w:trPr>
          <w:cantSplit w:val="0"/>
          <w:trHeight w:val="55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Pentru realizarea sarcinilor definite la secțiunea de evaluare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NU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este permisă utilizarea instrumentelor IAgen.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Exemplele cele mai cunoscute de instrumente IAgen includ, dar nu se rezumă la: ChatGPT, Google Gemini, Copilot pentru text sau MidJourney pentru imagini.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Fiecare student va preciza, într-o declarație redactată distinct pentru fiecare sarcină de lucru, conform modelului din anexa 3 a </w:t>
            </w:r>
            <w:hyperlink r:id="rId29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i w:val="1"/>
                  <w:iCs w:val="1"/>
                  <w:smallCaps w:val="0"/>
                  <w:strike w:val="0"/>
                  <w:color w:val="0563c1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Regulamentului privind utilizarea inteligenței artificiale generative în procesul educațional la UVT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instrumentul pe care l-a utilizat, modul în care a fost utilizat și partea din sarcină în care acesta a fost utilizat.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Declarația va fi menționată de student la începutul sarcinii de lucru elaborate.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hanging="35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Evaluare</w:t>
      </w:r>
      <w:r w:rsidDel="00000000" w:rsidR="00000000" w:rsidRPr="00000000">
        <w:rPr>
          <w:rtl w:val="0"/>
        </w:rPr>
      </w:r>
    </w:p>
    <w:tbl>
      <w:tblPr>
        <w:tblStyle w:val="Table10"/>
        <w:tblW w:w="10232.0" w:type="dxa"/>
        <w:jc w:val="left"/>
        <w:tblInd w:w="-147.0" w:type="dxa"/>
        <w:tblLayout w:type="fixed"/>
        <w:tblLook w:val="0000"/>
      </w:tblPr>
      <w:tblGrid>
        <w:gridCol w:w="1995"/>
        <w:gridCol w:w="2116"/>
        <w:gridCol w:w="3686"/>
        <w:gridCol w:w="2435"/>
        <w:tblGridChange w:id="0">
          <w:tblGrid>
            <w:gridCol w:w="1995"/>
            <w:gridCol w:w="2116"/>
            <w:gridCol w:w="3686"/>
            <w:gridCol w:w="24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 activitate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Criterii de evaluare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Metode de evaluare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Pondere din nota finală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9.1 Curs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Examen tip grila - online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9.2 Seminar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Portofoliu: aplicare, cotare și interpretare scale/chestionare; evaluare și stabilire obiective de consiliere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9.3 Laborator/lucrari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9.4 Standard minim de performanţă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0">
            <w:pPr>
              <w:shd w:fill="ffffff" w:val="clear"/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708"/>
                <w:tab w:val="left" w:leader="none" w:pos="1416"/>
                <w:tab w:val="left" w:leader="none" w:pos="2124"/>
                <w:tab w:val="left" w:leader="none" w:pos="3544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860"/>
                <w:tab w:val="left" w:leader="none" w:pos="32568"/>
              </w:tabs>
              <w:spacing w:after="0" w:line="240" w:lineRule="auto"/>
              <w:ind w:right="1094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Cerinţe minime pentru nota 5 (sau cum se acordă nota 5):</w:t>
            </w:r>
          </w:p>
          <w:p w:rsidR="00000000" w:rsidDel="00000000" w:rsidP="00000000" w:rsidRDefault="00000000" w:rsidRPr="00000000" w14:paraId="000001C1">
            <w:pPr>
              <w:shd w:fill="ffffff" w:val="clear"/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708"/>
                <w:tab w:val="left" w:leader="none" w:pos="1416"/>
                <w:tab w:val="left" w:leader="none" w:pos="2124"/>
                <w:tab w:val="left" w:leader="none" w:pos="3544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860"/>
                <w:tab w:val="left" w:leader="none" w:pos="32568"/>
              </w:tabs>
              <w:spacing w:after="0" w:line="240" w:lineRule="auto"/>
              <w:ind w:right="1094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Minim nota 5 obținută la seminar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Minim nota 5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la examenul final</w:t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shd w:fill="ffffff" w:val="clear"/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860"/>
                <w:tab w:val="left" w:leader="none" w:pos="32568"/>
              </w:tabs>
              <w:spacing w:after="0" w:line="240" w:lineRule="auto"/>
              <w:ind w:right="1049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Cerinţe pentru nota 10 sau cum se acordă nota 10):</w:t>
            </w:r>
          </w:p>
          <w:p w:rsidR="00000000" w:rsidDel="00000000" w:rsidP="00000000" w:rsidRDefault="00000000" w:rsidRPr="00000000" w14:paraId="000001C5">
            <w:pPr>
              <w:shd w:fill="ffffff" w:val="clear"/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860"/>
                <w:tab w:val="left" w:leader="none" w:pos="32568"/>
              </w:tabs>
              <w:spacing w:after="0" w:line="240" w:lineRule="auto"/>
              <w:ind w:right="1049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Nota 10 obținută prin aplicarea formulei de calcul a notei finale (50%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x exam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final+50% x nota seminar)</w:t>
            </w:r>
          </w:p>
          <w:p w:rsidR="00000000" w:rsidDel="00000000" w:rsidP="00000000" w:rsidRDefault="00000000" w:rsidRPr="00000000" w14:paraId="000001C6">
            <w:pPr>
              <w:shd w:fill="ffffff" w:val="clear"/>
              <w:tabs>
                <w:tab w:val="left" w:leader="none" w:pos="-3226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860"/>
                <w:tab w:val="left" w:leader="none" w:pos="32568"/>
              </w:tabs>
              <w:spacing w:after="0" w:line="240" w:lineRule="auto"/>
              <w:ind w:right="1049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A">
      <w:pPr>
        <w:spacing w:after="0" w:lineRule="auto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188.0" w:type="dxa"/>
        <w:jc w:val="left"/>
        <w:tblInd w:w="-108.0" w:type="dxa"/>
        <w:tblLayout w:type="fixed"/>
        <w:tblLook w:val="0000"/>
      </w:tblPr>
      <w:tblGrid>
        <w:gridCol w:w="5094"/>
        <w:gridCol w:w="5094"/>
        <w:tblGridChange w:id="0">
          <w:tblGrid>
            <w:gridCol w:w="5094"/>
            <w:gridCol w:w="509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CB">
            <w:pPr>
              <w:spacing w:after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Data completării:</w:t>
            </w:r>
          </w:p>
          <w:p w:rsidR="00000000" w:rsidDel="00000000" w:rsidP="00000000" w:rsidRDefault="00000000" w:rsidRPr="00000000" w14:paraId="000001CC">
            <w:pPr>
              <w:spacing w:after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3.02.2026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D">
            <w:pPr>
              <w:spacing w:after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Titular curs (Semnătura):</w:t>
            </w:r>
          </w:p>
          <w:p w:rsidR="00000000" w:rsidDel="00000000" w:rsidP="00000000" w:rsidRDefault="00000000" w:rsidRPr="00000000" w14:paraId="000001CE">
            <w:pPr>
              <w:spacing w:after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Conf. univ. dr. Ioana Dârjan</w:t>
            </w:r>
          </w:p>
          <w:p w:rsidR="00000000" w:rsidDel="00000000" w:rsidP="00000000" w:rsidRDefault="00000000" w:rsidRPr="00000000" w14:paraId="000001CF">
            <w:pPr>
              <w:spacing w:after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D0">
            <w:pPr>
              <w:spacing w:after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Data avizării în departament:</w:t>
            </w:r>
          </w:p>
          <w:p w:rsidR="00000000" w:rsidDel="00000000" w:rsidP="00000000" w:rsidRDefault="00000000" w:rsidRPr="00000000" w14:paraId="000001D1">
            <w:pPr>
              <w:spacing w:after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6.02.2026</w:t>
            </w:r>
          </w:p>
          <w:p w:rsidR="00000000" w:rsidDel="00000000" w:rsidP="00000000" w:rsidRDefault="00000000" w:rsidRPr="00000000" w14:paraId="000001D2">
            <w:pPr>
              <w:spacing w:after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3">
            <w:pPr>
              <w:spacing w:after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Director departament (Semnătura):</w:t>
            </w:r>
          </w:p>
          <w:p w:rsidR="00000000" w:rsidDel="00000000" w:rsidP="00000000" w:rsidRDefault="00000000" w:rsidRPr="00000000" w14:paraId="000001D4">
            <w:pPr>
              <w:spacing w:after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Conf. univ. dr. Claudia Borca</w:t>
            </w:r>
          </w:p>
        </w:tc>
      </w:tr>
    </w:tbl>
    <w:p w:rsidR="00000000" w:rsidDel="00000000" w:rsidP="00000000" w:rsidRDefault="00000000" w:rsidRPr="00000000" w14:paraId="000001D5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134" w:top="1134" w:left="851" w:right="851" w:header="709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6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200" w:before="0" w:line="276" w:lineRule="auto"/>
      <w:ind w:left="-540" w:right="-158" w:firstLine="522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935" distR="114935" hidden="0" layoutInCell="1" locked="0" relativeHeight="0" simplePos="0">
          <wp:simplePos x="0" y="0"/>
          <wp:positionH relativeFrom="column">
            <wp:posOffset>160019</wp:posOffset>
          </wp:positionH>
          <wp:positionV relativeFrom="paragraph">
            <wp:posOffset>-353059</wp:posOffset>
          </wp:positionV>
          <wp:extent cx="1824990" cy="865505"/>
          <wp:effectExtent b="0" l="0" r="0" t="0"/>
          <wp:wrapTopAndBottom distB="0" distT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4990" cy="8655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935" distR="114935" hidden="0" layoutInCell="1" locked="0" relativeHeight="0" simplePos="0">
          <wp:simplePos x="0" y="0"/>
          <wp:positionH relativeFrom="column">
            <wp:posOffset>4575810</wp:posOffset>
          </wp:positionH>
          <wp:positionV relativeFrom="paragraph">
            <wp:posOffset>-449579</wp:posOffset>
          </wp:positionV>
          <wp:extent cx="1360170" cy="1360170"/>
          <wp:effectExtent b="0" l="0" r="0" t="0"/>
          <wp:wrapTopAndBottom distB="0" dist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0170" cy="136017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200" w:before="0" w:line="276" w:lineRule="auto"/>
      <w:ind w:left="-540" w:right="-158" w:firstLine="5076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935" distR="114935" hidden="0" layoutInCell="1" locked="0" relativeHeight="0" simplePos="0">
          <wp:simplePos x="0" y="0"/>
          <wp:positionH relativeFrom="column">
            <wp:posOffset>-245744</wp:posOffset>
          </wp:positionH>
          <wp:positionV relativeFrom="paragraph">
            <wp:posOffset>189865</wp:posOffset>
          </wp:positionV>
          <wp:extent cx="6181725" cy="33020"/>
          <wp:effectExtent b="0" l="0" r="0" t="0"/>
          <wp:wrapSquare wrapText="bothSides" distB="0" distT="0" distL="114935" distR="114935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81725" cy="3302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bCs w:val="1"/>
        <w:vertAlign w:val="baseli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cs="Arial" w:eastAsia="Arial" w:hAnsi="Arial"/>
        <w:b w:val="1"/>
        <w:bCs w:val="1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Arial" w:cs="Arial" w:eastAsia="Arial" w:hAnsi="Arial"/>
        <w:b w:val="1"/>
        <w:bCs w:val="1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Arial" w:cs="Arial" w:eastAsia="Arial" w:hAnsi="Arial"/>
        <w:b w:val="1"/>
        <w:bCs w:val="1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Arial" w:cs="Arial" w:eastAsia="Arial" w:hAnsi="Arial"/>
        <w:b w:val="1"/>
        <w:bCs w:val="1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Arial" w:cs="Arial" w:eastAsia="Arial" w:hAnsi="Arial"/>
        <w:b w:val="1"/>
        <w:bCs w:val="1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Arial" w:cs="Arial" w:eastAsia="Arial" w:hAnsi="Arial"/>
        <w:b w:val="1"/>
        <w:bCs w:val="1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Arial" w:cs="Arial" w:eastAsia="Arial" w:hAnsi="Arial"/>
        <w:b w:val="1"/>
        <w:bCs w:val="1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Arial" w:cs="Arial" w:eastAsia="Arial" w:hAnsi="Arial"/>
        <w:b w:val="1"/>
        <w:bCs w:val="1"/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Titlu1">
    <w:name w:val="Titlu 1"/>
    <w:basedOn w:val="Normal"/>
    <w:next w:val="Normal"/>
    <w:autoRedefine w:val="0"/>
    <w:hidden w:val="0"/>
    <w:qFormat w:val="0"/>
    <w:pPr>
      <w:keepNext w:val="1"/>
      <w:numPr>
        <w:ilvl w:val="0"/>
        <w:numId w:val="1"/>
      </w:numPr>
      <w:suppressAutoHyphens w:val="0"/>
      <w:spacing w:after="60" w:before="240" w:line="240" w:lineRule="auto"/>
      <w:ind w:leftChars="-1" w:rightChars="0" w:firstLineChars="-1"/>
      <w:textDirection w:val="btLr"/>
      <w:textAlignment w:val="top"/>
      <w:outlineLvl w:val="0"/>
    </w:pPr>
    <w:rPr>
      <w:rFonts w:ascii="Cambria" w:cs="Cambria" w:eastAsia="Calibri" w:hAnsi="Cambria"/>
      <w:b w:val="1"/>
      <w:bCs w:val="1"/>
      <w:w w:val="100"/>
      <w:kern w:val="1"/>
      <w:position w:val="-1"/>
      <w:sz w:val="32"/>
      <w:szCs w:val="32"/>
      <w:effect w:val="none"/>
      <w:vertAlign w:val="baseline"/>
      <w:cs w:val="0"/>
      <w:em w:val="none"/>
      <w:lang w:bidi="ar-SA" w:eastAsia="zh-CN" w:val="und"/>
    </w:rPr>
  </w:style>
  <w:style w:type="character" w:styleId="Fontdeparagrafimplicit0">
    <w:name w:val="Font de paragraf implicit"/>
    <w:next w:val="Fontdeparagrafimplicit0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Normal">
    <w:name w:val="Tabel Normal"/>
    <w:next w:val="Tabel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FărăListare">
    <w:name w:val="Fără Listare"/>
    <w:next w:val="FărăListare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color w:val="000000"/>
      <w:w w:val="100"/>
      <w:position w:val="0"/>
      <w:sz w:val="24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rFonts w:ascii="Courier New" w:cs="Courier New" w:eastAsia="ヒラギノ角ゴ Pro W3" w:hAnsi="Courier New" w:hint="default"/>
      <w:color w:val="000000"/>
      <w:w w:val="100"/>
      <w:position w:val="0"/>
      <w:sz w:val="24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rFonts w:ascii="Wingdings" w:cs="Wingdings" w:eastAsia="ヒラギノ角ゴ Pro W3" w:hAnsi="Wingdings" w:hint="default"/>
      <w:color w:val="000000"/>
      <w:w w:val="100"/>
      <w:position w:val="0"/>
      <w:sz w:val="24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color w:val="000000"/>
      <w:w w:val="100"/>
      <w:position w:val="0"/>
      <w:sz w:val="24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rFonts w:ascii="Courier New" w:cs="Courier New" w:eastAsia="ヒラギノ角ゴ Pro W3" w:hAnsi="Courier New" w:hint="default"/>
      <w:color w:val="000000"/>
      <w:w w:val="100"/>
      <w:position w:val="0"/>
      <w:sz w:val="24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rFonts w:ascii="Wingdings" w:cs="Wingdings" w:eastAsia="ヒラギノ角ゴ Pro W3" w:hAnsi="Wingdings" w:hint="default"/>
      <w:color w:val="000000"/>
      <w:w w:val="100"/>
      <w:position w:val="0"/>
      <w:sz w:val="24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Arial" w:cs="Arial" w:hAnsi="Arial" w:hint="default"/>
      <w:color w:val="000000"/>
      <w:w w:val="100"/>
      <w:position w:val="0"/>
      <w:sz w:val="24"/>
      <w:szCs w:val="20"/>
      <w:effect w:val="none"/>
      <w:vertAlign w:val="baseline"/>
      <w:cs w:val="0"/>
      <w:em w:val="none"/>
      <w:lang w:val="ro-RO"/>
    </w:rPr>
  </w:style>
  <w:style w:type="character" w:styleId="WW8Num4z0">
    <w:name w:val="WW8Num4z0"/>
    <w:next w:val="WW8Num4z0"/>
    <w:autoRedefine w:val="0"/>
    <w:hidden w:val="0"/>
    <w:qFormat w:val="0"/>
    <w:rPr>
      <w:rFonts w:ascii="Arial" w:cs="Arial" w:hAnsi="Arial" w:hint="default"/>
      <w:b w:val="1"/>
      <w:w w:val="100"/>
      <w:position w:val="-1"/>
      <w:effect w:val="none"/>
      <w:vertAlign w:val="baseline"/>
      <w:cs w:val="0"/>
      <w:em w:val="none"/>
      <w:lang w:val="ro-RO"/>
    </w:rPr>
  </w:style>
  <w:style w:type="character" w:styleId="WW8Num5z0">
    <w:name w:val="WW8Num5z0"/>
    <w:next w:val="WW8Num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1">
    <w:name w:val="WW8Num5z1"/>
    <w:next w:val="WW8Num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2">
    <w:name w:val="WW8Num5z2"/>
    <w:next w:val="WW8Num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3">
    <w:name w:val="WW8Num5z3"/>
    <w:next w:val="WW8Num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4">
    <w:name w:val="WW8Num5z4"/>
    <w:next w:val="WW8Num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5">
    <w:name w:val="WW8Num5z5"/>
    <w:next w:val="WW8Num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6">
    <w:name w:val="WW8Num5z6"/>
    <w:next w:val="WW8Num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7">
    <w:name w:val="WW8Num5z7"/>
    <w:next w:val="WW8Num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8">
    <w:name w:val="WW8Num5z8"/>
    <w:next w:val="WW8Num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0">
    <w:name w:val="WW8Num6z0"/>
    <w:next w:val="WW8Num6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1">
    <w:name w:val="WW8Num6z1"/>
    <w:next w:val="WW8Num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2">
    <w:name w:val="WW8Num6z2"/>
    <w:next w:val="WW8Num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3">
    <w:name w:val="WW8Num6z3"/>
    <w:next w:val="WW8Num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4">
    <w:name w:val="WW8Num6z4"/>
    <w:next w:val="WW8Num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5">
    <w:name w:val="WW8Num6z5"/>
    <w:next w:val="WW8Num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6">
    <w:name w:val="WW8Num6z6"/>
    <w:next w:val="WW8Num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7">
    <w:name w:val="WW8Num6z7"/>
    <w:next w:val="WW8Num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8">
    <w:name w:val="WW8Num6z8"/>
    <w:next w:val="WW8Num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0">
    <w:name w:val="WW8Num7z0"/>
    <w:next w:val="WW8Num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1">
    <w:name w:val="WW8Num7z1"/>
    <w:next w:val="WW8Num7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2">
    <w:name w:val="WW8Num7z2"/>
    <w:next w:val="WW8Num7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3">
    <w:name w:val="WW8Num7z3"/>
    <w:next w:val="WW8Num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4">
    <w:name w:val="WW8Num7z4"/>
    <w:next w:val="WW8Num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5">
    <w:name w:val="WW8Num7z5"/>
    <w:next w:val="WW8Num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6">
    <w:name w:val="WW8Num7z6"/>
    <w:next w:val="WW8Num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7">
    <w:name w:val="WW8Num7z7"/>
    <w:next w:val="WW8Num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8">
    <w:name w:val="WW8Num7z8"/>
    <w:next w:val="WW8Num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0">
    <w:name w:val="WW8Num8z0"/>
    <w:next w:val="WW8Num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0">
    <w:name w:val="WW8Num9z0"/>
    <w:next w:val="WW8Num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z1">
    <w:name w:val="WW8Num9z1"/>
    <w:next w:val="WW8Num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z2">
    <w:name w:val="WW8Num9z2"/>
    <w:next w:val="WW8Num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z0">
    <w:name w:val="WW8Num10z0"/>
    <w:next w:val="WW8Num1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0">
    <w:name w:val="WW8Num11z0"/>
    <w:next w:val="WW8Num11z0"/>
    <w:autoRedefine w:val="0"/>
    <w:hidden w:val="0"/>
    <w:qFormat w:val="0"/>
    <w:rPr>
      <w:rFonts w:ascii="Symbol" w:cs="Symbol" w:hAnsi="Symbol" w:hint="default"/>
      <w:w w:val="100"/>
      <w:position w:val="-1"/>
      <w:sz w:val="20"/>
      <w:szCs w:val="20"/>
      <w:effect w:val="none"/>
      <w:vertAlign w:val="baseline"/>
      <w:cs w:val="0"/>
      <w:em w:val="none"/>
      <w:lang w:val="ro-RO"/>
    </w:rPr>
  </w:style>
  <w:style w:type="character" w:styleId="WW8Num11z1">
    <w:name w:val="WW8Num11z1"/>
    <w:next w:val="WW8Num1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z2">
    <w:name w:val="WW8Num11z2"/>
    <w:next w:val="WW8Num1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2z0">
    <w:name w:val="WW8Num12z0"/>
    <w:next w:val="WW8Num12z0"/>
    <w:autoRedefine w:val="0"/>
    <w:hidden w:val="0"/>
    <w:qFormat w:val="0"/>
    <w:rPr>
      <w:rFonts w:ascii="Symbol" w:cs="Symbol" w:hAnsi="Symbol" w:hint="default"/>
      <w:w w:val="100"/>
      <w:position w:val="-1"/>
      <w:sz w:val="20"/>
      <w:szCs w:val="20"/>
      <w:effect w:val="none"/>
      <w:vertAlign w:val="baseline"/>
      <w:cs w:val="0"/>
      <w:em w:val="none"/>
      <w:lang w:val="ro-RO"/>
    </w:rPr>
  </w:style>
  <w:style w:type="character" w:styleId="WW8Num12z1">
    <w:name w:val="WW8Num12z1"/>
    <w:next w:val="WW8Num1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2z2">
    <w:name w:val="WW8Num12z2"/>
    <w:next w:val="WW8Num1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3z0">
    <w:name w:val="WW8Num13z0"/>
    <w:next w:val="WW8Num1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3z1">
    <w:name w:val="WW8Num13z1"/>
    <w:next w:val="WW8Num1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3z2">
    <w:name w:val="WW8Num13z2"/>
    <w:next w:val="WW8Num1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Fontdeparagrafimplicit">
    <w:name w:val="Font de paragraf implicit"/>
    <w:next w:val="Fontdeparagrafimplici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FootnoteTextChar">
    <w:name w:val="Footnote Text Char"/>
    <w:next w:val="Footnote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val="en-US"/>
    </w:rPr>
  </w:style>
  <w:style w:type="character" w:styleId="FootnoteCharacters">
    <w:name w:val="Footnote Characters"/>
    <w:next w:val="FootnoteCharacters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character" w:styleId="Heading1Char">
    <w:name w:val="Heading 1 Char"/>
    <w:next w:val="Heading1Char"/>
    <w:autoRedefine w:val="0"/>
    <w:hidden w:val="0"/>
    <w:qFormat w:val="0"/>
    <w:rPr>
      <w:rFonts w:ascii="Calibri Light" w:cs="Times New Roman" w:eastAsia="Times New Roman" w:hAnsi="Calibri Light"/>
      <w:b w:val="1"/>
      <w:bCs w:val="1"/>
      <w:w w:val="100"/>
      <w:kern w:val="1"/>
      <w:position w:val="-1"/>
      <w:sz w:val="32"/>
      <w:szCs w:val="32"/>
      <w:effect w:val="none"/>
      <w:vertAlign w:val="baseline"/>
      <w:cs w:val="0"/>
      <w:em w:val="none"/>
      <w:lang w:val="en-US"/>
    </w:rPr>
  </w:style>
  <w:style w:type="character" w:styleId="Heading1Char1">
    <w:name w:val="Heading 1 Char1"/>
    <w:next w:val="Heading1Char1"/>
    <w:autoRedefine w:val="0"/>
    <w:hidden w:val="0"/>
    <w:qFormat w:val="0"/>
    <w:rPr>
      <w:rFonts w:ascii="Cambria" w:cs="Cambria" w:hAnsi="Cambria"/>
      <w:b w:val="1"/>
      <w:bCs w:val="1"/>
      <w:w w:val="100"/>
      <w:kern w:val="1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UnresolvedMention">
    <w:name w:val="Unresolved Mention"/>
    <w:next w:val="UnresolvedMention"/>
    <w:autoRedefine w:val="0"/>
    <w:hidden w:val="0"/>
    <w:qFormat w:val="0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character" w:styleId="Referințănotădesubsol">
    <w:name w:val="Referință notă de subsol"/>
    <w:next w:val="Referințănotădesubsol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character" w:styleId="Bullets">
    <w:name w:val="Bullets"/>
    <w:next w:val="Bullets"/>
    <w:autoRedefine w:val="0"/>
    <w:hidden w:val="0"/>
    <w:qFormat w:val="0"/>
    <w:rPr>
      <w:rFonts w:ascii="OpenSymbol" w:cs="OpenSymbol" w:eastAsia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Referințănotădefinal">
    <w:name w:val="Referință notă de final"/>
    <w:next w:val="Referințănotădefinal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character" w:styleId="EndnoteCharacters">
    <w:name w:val="Endnote Characters"/>
    <w:next w:val="EndnoteCharacters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eading">
    <w:name w:val="Heading"/>
    <w:basedOn w:val="Normal"/>
    <w:next w:val="Corptext"/>
    <w:autoRedefine w:val="0"/>
    <w:hidden w:val="0"/>
    <w:qFormat w:val="0"/>
    <w:pPr>
      <w:keepNext w:val="1"/>
      <w:suppressAutoHyphens w:val="0"/>
      <w:spacing w:after="120" w:before="240" w:line="276" w:lineRule="auto"/>
      <w:ind w:leftChars="-1" w:rightChars="0" w:firstLineChars="-1"/>
      <w:textDirection w:val="btLr"/>
      <w:textAlignment w:val="top"/>
      <w:outlineLvl w:val="0"/>
    </w:pPr>
    <w:rPr>
      <w:rFonts w:ascii="Liberation Sans" w:cs="Mangal" w:eastAsia="Microsoft YaHei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en-US"/>
    </w:rPr>
  </w:style>
  <w:style w:type="paragraph" w:styleId="Corptext">
    <w:name w:val="Corp text"/>
    <w:basedOn w:val="Normal"/>
    <w:next w:val="Corptext"/>
    <w:autoRedefine w:val="0"/>
    <w:hidden w:val="0"/>
    <w:qFormat w:val="0"/>
    <w:pPr>
      <w:suppressAutoHyphens w:val="0"/>
      <w:spacing w:after="140" w:before="0" w:line="288" w:lineRule="auto"/>
      <w:ind w:leftChars="-1" w:rightChars="0" w:firstLineChars="-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US"/>
    </w:rPr>
  </w:style>
  <w:style w:type="paragraph" w:styleId="Listă">
    <w:name w:val="Listă"/>
    <w:basedOn w:val="Corptext"/>
    <w:next w:val="Listă"/>
    <w:autoRedefine w:val="0"/>
    <w:hidden w:val="0"/>
    <w:qFormat w:val="0"/>
    <w:pPr>
      <w:suppressAutoHyphens w:val="0"/>
      <w:spacing w:after="140" w:before="0" w:line="288" w:lineRule="auto"/>
      <w:ind w:leftChars="-1" w:rightChars="0" w:firstLineChars="-1"/>
      <w:textDirection w:val="btLr"/>
      <w:textAlignment w:val="top"/>
      <w:outlineLvl w:val="0"/>
    </w:pPr>
    <w:rPr>
      <w:rFonts w:ascii="Calibri" w:cs="Mangal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US"/>
    </w:rPr>
  </w:style>
  <w:style w:type="paragraph" w:styleId="Legendă">
    <w:name w:val="Legendă"/>
    <w:basedOn w:val="Normal"/>
    <w:next w:val="Legendă"/>
    <w:autoRedefine w:val="0"/>
    <w:hidden w:val="0"/>
    <w:qFormat w:val="0"/>
    <w:pPr>
      <w:suppressLineNumbers w:val="1"/>
      <w:suppressAutoHyphens w:val="0"/>
      <w:spacing w:after="120" w:before="120" w:line="276" w:lineRule="auto"/>
      <w:ind w:leftChars="-1" w:rightChars="0" w:firstLineChars="-1"/>
      <w:textDirection w:val="btLr"/>
      <w:textAlignment w:val="top"/>
      <w:outlineLvl w:val="0"/>
    </w:pPr>
    <w:rPr>
      <w:rFonts w:ascii="Calibri" w:cs="Mangal" w:eastAsia="Calibri" w:hAnsi="Calibri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n-US"/>
    </w:rPr>
  </w:style>
  <w:style w:type="paragraph" w:styleId="Index">
    <w:name w:val="Index"/>
    <w:basedOn w:val="Normal"/>
    <w:next w:val="Index"/>
    <w:autoRedefine w:val="0"/>
    <w:hidden w:val="0"/>
    <w:qFormat w:val="0"/>
    <w:pPr>
      <w:suppressLineNumbers w:val="1"/>
      <w:suppressAutoHyphens w:val="0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rFonts w:ascii="Calibri" w:cs="Mangal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US"/>
    </w:rPr>
  </w:style>
  <w:style w:type="paragraph" w:styleId="Fărăspațiere">
    <w:name w:val="Fără spațiere"/>
    <w:next w:val="Fărăspațiere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US"/>
    </w:rPr>
  </w:style>
  <w:style w:type="paragraph" w:styleId="Listăparagraf">
    <w:name w:val="Listă paragraf"/>
    <w:basedOn w:val="Normal"/>
    <w:next w:val="Listăparagraf"/>
    <w:autoRedefine w:val="0"/>
    <w:hidden w:val="0"/>
    <w:qFormat w:val="0"/>
    <w:pPr>
      <w:suppressAutoHyphens w:val="0"/>
      <w:spacing w:after="200" w:before="0" w:line="276" w:lineRule="auto"/>
      <w:ind w:left="720" w:right="0" w:leftChars="-1" w:rightChars="0" w:firstLine="0" w:firstLineChars="-1"/>
      <w:contextualSpacing w:val="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US"/>
    </w:rPr>
  </w:style>
  <w:style w:type="paragraph" w:styleId="TextînBalon">
    <w:name w:val="Text în Balon"/>
    <w:basedOn w:val="Normal"/>
    <w:next w:val="TextînBalon"/>
    <w:autoRedefine w:val="0"/>
    <w:hidden w:val="0"/>
    <w:qFormat w:val="0"/>
    <w:pPr>
      <w:suppressAutoHyphens w:val="0"/>
      <w:spacing w:after="0" w:before="0"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eastAsia="Calibri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und"/>
    </w:rPr>
  </w:style>
  <w:style w:type="paragraph" w:styleId="Textnotădesubsol">
    <w:name w:val="Text notă de subsol"/>
    <w:basedOn w:val="Normal"/>
    <w:next w:val="Textnotădesubsol"/>
    <w:autoRedefine w:val="0"/>
    <w:hidden w:val="0"/>
    <w:qFormat w:val="0"/>
    <w:pPr>
      <w:suppressAutoHyphens w:val="0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0"/>
      <w:szCs w:val="20"/>
      <w:effect w:val="none"/>
      <w:vertAlign w:val="baseline"/>
      <w:cs w:val="0"/>
      <w:em w:val="none"/>
      <w:lang w:bidi="ar-SA" w:eastAsia="zh-CN" w:val="en-US"/>
    </w:rPr>
  </w:style>
  <w:style w:type="paragraph" w:styleId="FreeFormA">
    <w:name w:val="Free Form A"/>
    <w:next w:val="FreeFormA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 w:bidi="ar-SA" w:eastAsia="zh-CN" w:val="und"/>
    </w:rPr>
  </w:style>
  <w:style w:type="paragraph" w:styleId="Antet">
    <w:name w:val="Antet"/>
    <w:basedOn w:val="Normal"/>
    <w:next w:val="Antet"/>
    <w:autoRedefine w:val="0"/>
    <w:hidden w:val="0"/>
    <w:qFormat w:val="0"/>
    <w:pPr>
      <w:tabs>
        <w:tab w:val="center" w:leader="none" w:pos="4680"/>
        <w:tab w:val="right" w:leader="none" w:pos="9360"/>
      </w:tabs>
      <w:suppressAutoHyphens w:val="0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US"/>
    </w:rPr>
  </w:style>
  <w:style w:type="paragraph" w:styleId="Subsol">
    <w:name w:val="Subsol"/>
    <w:basedOn w:val="Normal"/>
    <w:next w:val="Subsol"/>
    <w:autoRedefine w:val="0"/>
    <w:hidden w:val="0"/>
    <w:qFormat w:val="0"/>
    <w:pPr>
      <w:tabs>
        <w:tab w:val="center" w:leader="none" w:pos="4680"/>
        <w:tab w:val="right" w:leader="none" w:pos="9360"/>
      </w:tabs>
      <w:suppressAutoHyphens w:val="0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US"/>
    </w:rPr>
  </w:style>
  <w:style w:type="paragraph" w:styleId="TableContents">
    <w:name w:val="Table Contents"/>
    <w:basedOn w:val="Normal"/>
    <w:next w:val="TableContents"/>
    <w:autoRedefine w:val="0"/>
    <w:hidden w:val="0"/>
    <w:qFormat w:val="0"/>
    <w:pPr>
      <w:suppressLineNumbers w:val="1"/>
      <w:suppressAutoHyphens w:val="0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US"/>
    </w:rPr>
  </w:style>
  <w:style w:type="paragraph" w:styleId="TableHeading">
    <w:name w:val="Table Heading"/>
    <w:basedOn w:val="TableContents"/>
    <w:next w:val="TableHeading"/>
    <w:autoRedefine w:val="0"/>
    <w:hidden w:val="0"/>
    <w:qFormat w:val="0"/>
    <w:pPr>
      <w:suppressLineNumbers w:val="1"/>
      <w:suppressAutoHyphens w:val="0"/>
      <w:spacing w:after="200" w:line="276" w:lineRule="auto"/>
      <w:ind w:leftChars="-1" w:rightChars="0" w:firstLineChars="-1"/>
      <w:jc w:val="center"/>
      <w:textDirection w:val="btLr"/>
      <w:textAlignment w:val="top"/>
      <w:outlineLvl w:val="0"/>
    </w:pPr>
    <w:rPr>
      <w:rFonts w:ascii="Calibri" w:eastAsia="Calibri" w:hAnsi="Calibri"/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US"/>
    </w:r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n-US"/>
    </w:rPr>
  </w:style>
  <w:style w:type="character" w:styleId="Accentuat">
    <w:name w:val="Accentuat"/>
    <w:next w:val="Accentuat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Robust">
    <w:name w:val="Robust"/>
    <w:next w:val="Robust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SenseTitle-Sub">
    <w:name w:val="SenseTitle-Sub"/>
    <w:basedOn w:val="Normal"/>
    <w:next w:val="Normal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n-GB"/>
    </w:rPr>
  </w:style>
  <w:style w:type="character" w:styleId="HyperlinkParcurs">
    <w:name w:val="HyperlinkParcurs"/>
    <w:next w:val="HyperlinkParcurs"/>
    <w:autoRedefine w:val="0"/>
    <w:hidden w:val="0"/>
    <w:qFormat w:val="1"/>
    <w:rPr>
      <w:color w:val="954f72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productattrlabel">
    <w:name w:val="productattrlabel"/>
    <w:next w:val="productattrlabel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-size-small">
    <w:name w:val="a-size-small"/>
    <w:next w:val="a-size-small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elgrilă">
    <w:name w:val="Tabel grilă"/>
    <w:basedOn w:val="TabelNormal"/>
    <w:next w:val="Tabelgrilă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grilă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euro.who.int/__data/assets/pdf_file/0005/303485/HBSC-No.7_factsheet_Bullying.pdf" TargetMode="External"/><Relationship Id="rId22" Type="http://schemas.openxmlformats.org/officeDocument/2006/relationships/hyperlink" Target="https://positivepsychology.com/" TargetMode="External"/><Relationship Id="rId21" Type="http://schemas.openxmlformats.org/officeDocument/2006/relationships/hyperlink" Target="https://apps.who.int/iris/bitstream/handle/10665/332091/9789289055000-eng.pdf" TargetMode="External"/><Relationship Id="rId24" Type="http://schemas.openxmlformats.org/officeDocument/2006/relationships/hyperlink" Target="https://www.amazon.com/gp/product/1683731441/ref=ppx_yo_dt_b_asin_title_o00_s00?ie=UTF8&amp;psc=1" TargetMode="External"/><Relationship Id="rId23" Type="http://schemas.openxmlformats.org/officeDocument/2006/relationships/hyperlink" Target="https://www.amazon.com/gp/product/1683731441/ref=ppx_yo_dt_b_asin_title_o00_s00?ie=UTF8&amp;psc=1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x.doi.org/10.1080/01443410120101242" TargetMode="External"/><Relationship Id="rId26" Type="http://schemas.openxmlformats.org/officeDocument/2006/relationships/hyperlink" Target="https://www.amazon.com/gp/product/1684033985/ref=ppx_yo_dt_b_asin_title_o00_s00?ie=UTF8&amp;psc=1" TargetMode="External"/><Relationship Id="rId25" Type="http://schemas.openxmlformats.org/officeDocument/2006/relationships/hyperlink" Target="https://www.amazon.com/gp/product/1683732960/ref=ppx_yo_dt_b_asin_title_o00_s00?ie=UTF8&amp;psc=1" TargetMode="External"/><Relationship Id="rId28" Type="http://schemas.openxmlformats.org/officeDocument/2006/relationships/hyperlink" Target="https://www.amazon.com/gp/product/1683732464/ref=ppx_od_dt_b_asin_title_s00?ie=UTF8&amp;psc=1" TargetMode="External"/><Relationship Id="rId27" Type="http://schemas.openxmlformats.org/officeDocument/2006/relationships/hyperlink" Target="https://www.amazon.com/gp/product/164611972X/ref=ppx_yo_dt_b_asin_title_o00_s00?ie=UTF8&amp;psc=1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yperlink" Target="https://www.uvt.ro/wp-content/uploads/sites/3/2026/01/Regulament-UVT_Utilizarea-AI-in-educatie.pdf" TargetMode="External"/><Relationship Id="rId7" Type="http://schemas.openxmlformats.org/officeDocument/2006/relationships/header" Target="header2.xml"/><Relationship Id="rId8" Type="http://schemas.openxmlformats.org/officeDocument/2006/relationships/header" Target="header1.xml"/><Relationship Id="rId11" Type="http://schemas.openxmlformats.org/officeDocument/2006/relationships/hyperlink" Target="https://www.salvaticopiii.ro/sci-ro/files/10/10551dfa-f0b2-4cb0-a103-08d811dc31a9.pdf" TargetMode="External"/><Relationship Id="rId10" Type="http://schemas.openxmlformats.org/officeDocument/2006/relationships/hyperlink" Target="https://www.psychologytoday.com/us/blog/hide-and-seek/201510/self-confidence-versus-self-esteem" TargetMode="External"/><Relationship Id="rId13" Type="http://schemas.openxmlformats.org/officeDocument/2006/relationships/hyperlink" Target="http://www.simplypsychology.org/social-identity-theory.html" TargetMode="External"/><Relationship Id="rId12" Type="http://schemas.openxmlformats.org/officeDocument/2006/relationships/hyperlink" Target="https://www.drchristinahibbert.com/if-self-esteem-is-a-myth-then-what-is-the-truth-understanding-self-worth/" TargetMode="External"/><Relationship Id="rId15" Type="http://schemas.openxmlformats.org/officeDocument/2006/relationships/hyperlink" Target="http://wilderdom.com/self/" TargetMode="External"/><Relationship Id="rId14" Type="http://schemas.openxmlformats.org/officeDocument/2006/relationships/hyperlink" Target="https://psycnet.apa.org/doi/10.1037/11771-009" TargetMode="External"/><Relationship Id="rId17" Type="http://schemas.openxmlformats.org/officeDocument/2006/relationships/hyperlink" Target="https://www.psychologytoday.com/us/blog/the-author-speaks/201811/who-stole-my-child" TargetMode="External"/><Relationship Id="rId16" Type="http://schemas.openxmlformats.org/officeDocument/2006/relationships/hyperlink" Target="http://www.businesspsych.org/" TargetMode="External"/><Relationship Id="rId19" Type="http://schemas.openxmlformats.org/officeDocument/2006/relationships/hyperlink" Target="https://www.researchgate.net/publication/6761621_Friend_Networking_Sites_and_Their_Relationship_to_Adolescents'_Well-Being_and_Social_Self-Esteem" TargetMode="External"/><Relationship Id="rId18" Type="http://schemas.openxmlformats.org/officeDocument/2006/relationships/hyperlink" Target="http://www.dcpconference.co.uk/dcp-conference/2008-conference/2008-%20conference_home.cf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pRCSblCsJzV7+eX1j1yWVditrg==">CgMxLjAyDmguMXA0MjR5MXFpZjhzMg5oLjZicjV4ZHk2cTJ1dTIOaC44NWVjbm4xNnd6NjkyDmgubXFuaXBkdnl5dm9iOAByITFucF9qSU92amhqc1NQZnRWVW52OElfZHdEMW4tRjNwdg==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2026-02-04T11:30:00Z</dcterms:created>
  <dc:creator>ramona.puiu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